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29</w:t>
      </w:r>
    </w:p>
    <w:p>
      <w:r>
        <w:t>Bundesgericht (BGE), 1987-03-20, DE</w:t>
      </w:r>
    </w:p>
    <w:p>
      <w:r>
        <w:rPr>
          <w:b/>
        </w:rPr>
        <w:t xml:space="preserve">Quelle: </w:t>
      </w:r>
      <w:r>
        <w:t>https://mcp.opencaselaw.ch/entscheid/bge_113 IV 29</w:t>
      </w:r>
    </w:p>
    <w:p>
      <w:r>
        <w:t>FR: ATF 113 IV 29</w:t>
      </w:r>
    </w:p>
    <w:p>
      <w:r>
        <w:t>IT: DTF 113 IV 29</w:t>
      </w:r>
    </w:p>
    <w:p>
      <w:pPr>
        <w:pStyle w:val="Heading2"/>
      </w:pPr>
      <w:r>
        <w:t>Regeste</w:t>
      </w:r>
    </w:p>
    <w:p>
      <w:r>
        <w:t>Regeste Art. 312 StGB. Amtsmissbrauch durch unrechtmässigen und mit unverhältnismässigen Mitteln durchgesetzten Abbruch eines Gefängnisbesuches.</w:t>
      </w:r>
    </w:p>
    <w:p>
      <w:pPr>
        <w:pStyle w:val="Heading2"/>
      </w:pPr>
      <w:r>
        <w:t>Erwägungen</w:t>
      </w:r>
    </w:p>
    <w:p>
      <w:r>
        <w:rPr>
          <w:b/>
        </w:rPr>
        <w:t>E. 1</w:t>
      </w:r>
    </w:p>
    <w:p>
      <w:r>
        <w:t>Nach Art. 312 StGB machen sich Mitglieder einer Behörde oder Beamte strafbar, die ihre Amtsgewalt missbrauchen, um sich oder einem andern einen unrechtmässigen Vorteil zu verschaffen oder einem andern einen Nachteil zuzufügen. Der hinsichtlich der Tathandlung sehr allgemein umschriebene Straftatbestand ist einschränkend dahin auszulegen, dass nur derjenige die Amtsgewalt missbraucht, welcher die Machtbefugnisse, die ihm sein Amt verleiht, unrechtmässig anwendet, d.h. kraft seines Amtes verfügt oder Zwang ausübt, wo es nicht geschehen dürfte ( BGE 108 IV 49 E. 1 mit Hinweisen). Er umfasst demnach nicht sämtliche pflichtwidrigen Handlungen, die ein mit Zwangsgewalt ausgestatteter Beamter bei Gelegenheit der Erfüllung seiner Pflichten ausführt; ihm sind vielmehr nur solche unzulässigen Verfügungen und Massnahmen unterstellt, die er kraft seines Amtes, in Ausübung seiner hoheitlichen Gewalt trifft ( BGE 108 IV 50 E. 2a). Diese Voraussetzung ist auch dann gegeben, wenn der Beamte zwar legitime Ziele verfolgt, aber zur Erreichung derselben in unverhältnismässiger Weise Gewalt anwendet ( BGE 104 IV 23 E. 2). Dieser der herrschenden Lehre entsprechenden Auffassung hat sich STRATENWERTH, der anfänglich die gegenteilige Meinung vertrat, angeschlossen (STRATENWERTH, Besonderer Teil II, 3. Aufl., S. 334 N. 10).</w:t>
      </w:r>
    </w:p>
    <w:p>
      <w:r>
        <w:rPr>
          <w:b/>
        </w:rPr>
        <w:t>E. 2</w:t>
      </w:r>
    </w:p>
    <w:p>
      <w:r>
        <w:t>Der Einwand des Beschwerdeführers, er habe in Ausübung des Hausrechts, nicht in Anwendung der ihm als Amtsträger zustehenden hoheitlichen Gewalt gehandelt, ist unbegründet. Nach BGE 113 IV 29 S. 31 seiner eigenen Darstellung hatte er als Polizeiorgan und Gefangenenwärter den Besuch der Frau A. zu überwachen, beträgt die normale Besuchsdauer 20 Min., liegt es in seiner Kompetenz zu entscheiden, aus welchen Gründen der Besuch vorzeitig beendet wird, und brach er diesen bereits nach 3 bis 4 Min. ab; er war darüber erbost, dass Frau A. den Boden der Zelle als dreckig bezeichnet hatte. Diese unwidersprochenen Aussagen zeigen eindeutig, dass der Beschwerdeführer den Besuch kraft der ihm als Überwacher zustehenden Hoheitsgewalt beendete; als Inhaber des Hausrechts hätte er eine dahingehende Anordnung überhaupt nicht treffen können. Die gewaltsame Entfernung von Frau A. aus der Besucherzelle diente sodann ausschliesslich der Durchsetzung des verfügten Besuchsabbruchs, dem sich jene unter Hinweis auf die erteilte Besuchsbewilligung nicht freiwillig unterziehen wollte. In Ausübung des Hausrechts konnte der Beschwerdeführer unter den gegebenen Umständen zudem rechtmässig gar nicht tätig werden. Er hatte das vorzeitige Besuchsende aus unsachlichen, eine solche Massnahme nicht rechtfertigenden Gründen angeordnet, also bereits insoweit seine Amtsgewalt objektiv missbraucht. Frau A. verharrte daraufhin zwar wider seinen Willen, nicht aber unrechtmässig in der Besucherzelle; denn die erteilte Bewilligung, die ihr Anspruch auf einen Besuch von 20 Min. Dauer gab, war angesichts des missbräuchlich verfügten Besuchsabbruchs nach wie vor rechtswirksam ( BGE 90 IV 78 E. c und BGE 83 IV 157 E. 1; vgl. PETRZILKA, Zürcher Erläuterungen zum Schweizerischen Strafgesetzbuch, S. 248; NOLL, Schweizerisches Strafrecht, Besonderer Teil I, S. 87; für das Deutsche Recht: SCHÖNKE/SCHRÖDER, Strafgesetzbuch, Kommentar, N. 32 ff. zu § 123). Hausfriedensbruch gemäss Art. 186 StGB und damit zulässige Abwehr eines solchen setzt aber voraus, dass jemand nicht nur gegen den Willen des Berechtigten, sondern zudem auch unrechtmässig in einem abgeschlossenen Raum verweilt ( BGE 90 IV 78 E. c und BGE 83 IV 157 E. 1; THORMANN/OVERBECK, N. 14 zu Art. 186 StGB ; HAFTER, Besonderer Teil I, S. 113; LOGOZ, Besonderer Teil I, N. 4a und N. 5 zu Art. 186 StGB ; STRATENWERTH, Besonderer Teil I, S. 114, N. 82). Der Beschwerdeführer hat entgegen der Darstellung in der Beschwerdeschrift anlässlich seiner Einvernahmen zur Sache nie behauptet, in der Meinung oder mit dem Willen tätig geworden zu sein, das Hausrecht durchzusetzen. Dass er mit dem körperlichen Angriff auf Frau A. und dessen Folgen das Gebot der Verhältnismässigkeit verletzte, das er als Amtsträger unter allen Umständen BGE 113 IV 29 S. 32 zu wahren verpflichtet blieb, und jedenfalls darin ein Amtsmissbrauch liegt, kann nach dem vorstehend Ausgeführten nicht zweifelhaft sein. Der Beschwerdeführer wendete nicht bloss überschiessende Mittel an, wie er vorgibt, sondern verfolgte zudem illegitime Ziele.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